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42" w:rsidRPr="00E62642" w:rsidRDefault="00E62642" w:rsidP="005C6BCD">
      <w:pPr>
        <w:tabs>
          <w:tab w:val="left" w:pos="1418"/>
        </w:tabs>
        <w:jc w:val="center"/>
        <w:rPr>
          <w:rFonts w:ascii="Bookman Old Style" w:hAnsi="Bookman Old Style"/>
          <w:bCs/>
          <w:sz w:val="28"/>
          <w:szCs w:val="28"/>
        </w:rPr>
      </w:pPr>
      <w:r w:rsidRPr="00E62642">
        <w:rPr>
          <w:rFonts w:ascii="Bookman Old Style" w:hAnsi="Bookman Old Style"/>
          <w:bCs/>
          <w:sz w:val="28"/>
          <w:szCs w:val="28"/>
        </w:rPr>
        <w:t>Tak</w:t>
      </w:r>
      <w:r w:rsidR="00804D9D">
        <w:rPr>
          <w:rFonts w:ascii="Bookman Old Style" w:hAnsi="Bookman Old Style"/>
          <w:bCs/>
          <w:sz w:val="28"/>
          <w:szCs w:val="28"/>
        </w:rPr>
        <w:t>ó</w:t>
      </w:r>
      <w:r w:rsidRPr="00E62642">
        <w:rPr>
          <w:rFonts w:ascii="Bookman Old Style" w:hAnsi="Bookman Old Style"/>
          <w:bCs/>
          <w:sz w:val="28"/>
          <w:szCs w:val="28"/>
        </w:rPr>
        <w:t xml:space="preserve"> </w:t>
      </w:r>
      <w:r w:rsidR="00804D9D">
        <w:rPr>
          <w:rFonts w:ascii="Bookman Old Style" w:hAnsi="Bookman Old Style"/>
          <w:bCs/>
          <w:sz w:val="28"/>
          <w:szCs w:val="28"/>
        </w:rPr>
        <w:t>Ferenc</w:t>
      </w:r>
    </w:p>
    <w:p w:rsidR="00E62642" w:rsidRDefault="00E62642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BF0F19" w:rsidRPr="00E62642" w:rsidRDefault="0093322A" w:rsidP="005C6BCD">
      <w:pPr>
        <w:tabs>
          <w:tab w:val="left" w:pos="1418"/>
        </w:tabs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Főbb publikációk</w:t>
      </w:r>
    </w:p>
    <w:p w:rsidR="00080DC7" w:rsidRPr="005C6BCD" w:rsidRDefault="00080DC7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80DC7" w:rsidRDefault="00080DC7" w:rsidP="005C6BCD">
      <w:pPr>
        <w:tabs>
          <w:tab w:val="left" w:pos="1418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7C4DE9" w:rsidRDefault="007C4DE9" w:rsidP="005C6BCD">
      <w:pPr>
        <w:tabs>
          <w:tab w:val="left" w:pos="1418"/>
        </w:tabs>
        <w:rPr>
          <w:rFonts w:ascii="Bookman Old Style" w:hAnsi="Bookman Old Style"/>
          <w:b/>
          <w:bCs/>
          <w:sz w:val="20"/>
          <w:szCs w:val="20"/>
        </w:rPr>
      </w:pPr>
    </w:p>
    <w:p w:rsidR="00BF0F19" w:rsidRPr="005C6BCD" w:rsidRDefault="00BF0F19" w:rsidP="005C6BCD">
      <w:pPr>
        <w:tabs>
          <w:tab w:val="left" w:pos="1418"/>
        </w:tabs>
        <w:rPr>
          <w:rFonts w:ascii="Bookman Old Style" w:hAnsi="Bookman Old Style"/>
          <w:sz w:val="20"/>
          <w:szCs w:val="20"/>
        </w:rPr>
      </w:pPr>
    </w:p>
    <w:p w:rsidR="0093322A" w:rsidRPr="00B620AB" w:rsidRDefault="0093322A" w:rsidP="00B620AB">
      <w:pPr>
        <w:tabs>
          <w:tab w:val="left" w:pos="1418"/>
        </w:tabs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B620AB">
        <w:rPr>
          <w:rFonts w:ascii="Bookman Old Style" w:hAnsi="Bookman Old Style"/>
          <w:b/>
          <w:bCs/>
          <w:sz w:val="22"/>
          <w:szCs w:val="22"/>
        </w:rPr>
        <w:t>2016</w:t>
      </w:r>
    </w:p>
    <w:p w:rsidR="0093322A" w:rsidRPr="00B620AB" w:rsidRDefault="00CE7218" w:rsidP="00B620AB">
      <w:pPr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="0093322A" w:rsidRPr="00B620AB">
        <w:rPr>
          <w:rFonts w:ascii="Bookman Old Style" w:hAnsi="Bookman Old Style"/>
          <w:sz w:val="22"/>
          <w:szCs w:val="22"/>
        </w:rPr>
        <w:t>»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at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least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as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we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like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to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think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« Max Weber and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the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Universal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” </w:t>
      </w:r>
      <w:r w:rsidR="0093322A" w:rsidRPr="00C24247">
        <w:rPr>
          <w:rFonts w:ascii="Bookman Old Style" w:hAnsi="Bookman Old Style"/>
          <w:i/>
          <w:iCs/>
          <w:sz w:val="22"/>
          <w:szCs w:val="22"/>
        </w:rPr>
        <w:t>In</w:t>
      </w:r>
      <w:r w:rsidR="0093322A" w:rsidRPr="00B620AB">
        <w:rPr>
          <w:rFonts w:ascii="Bookman Old Style" w:hAnsi="Bookman Old Style"/>
          <w:sz w:val="22"/>
          <w:szCs w:val="22"/>
        </w:rPr>
        <w:t xml:space="preserve"> Megyer </w:t>
      </w:r>
      <w:r w:rsidRPr="00CE7218">
        <w:rPr>
          <w:rFonts w:ascii="Bookman Old Style" w:hAnsi="Bookman Old Style"/>
          <w:smallCaps/>
          <w:sz w:val="22"/>
          <w:szCs w:val="22"/>
        </w:rPr>
        <w:t>Gyöngyösi</w:t>
      </w:r>
      <w:r w:rsidRPr="00B620AB">
        <w:rPr>
          <w:rFonts w:ascii="Bookman Old Style" w:hAnsi="Bookman Old Style"/>
          <w:sz w:val="22"/>
          <w:szCs w:val="22"/>
        </w:rPr>
        <w:t xml:space="preserve"> </w:t>
      </w:r>
      <w:r w:rsidR="0093322A" w:rsidRPr="00B620AB">
        <w:rPr>
          <w:rFonts w:ascii="Bookman Old Style" w:hAnsi="Bookman Old Style"/>
          <w:sz w:val="22"/>
          <w:szCs w:val="22"/>
        </w:rPr>
        <w:t xml:space="preserve">–Zsolt </w:t>
      </w:r>
      <w:proofErr w:type="spellStart"/>
      <w:r w:rsidRPr="00CE7218">
        <w:rPr>
          <w:rFonts w:ascii="Bookman Old Style" w:hAnsi="Bookman Old Style"/>
          <w:smallCaps/>
          <w:sz w:val="22"/>
          <w:szCs w:val="22"/>
        </w:rPr>
        <w:t>Kapelner</w:t>
      </w:r>
      <w:proofErr w:type="spellEnd"/>
      <w:r w:rsidRPr="00B620AB">
        <w:rPr>
          <w:rFonts w:ascii="Bookman Old Style" w:hAnsi="Bookman Old Style"/>
          <w:sz w:val="22"/>
          <w:szCs w:val="22"/>
        </w:rPr>
        <w:t xml:space="preserve"> </w:t>
      </w:r>
      <w:r w:rsidR="0093322A" w:rsidRPr="00B620AB">
        <w:rPr>
          <w:rFonts w:ascii="Bookman Old Style" w:hAnsi="Bookman Old Style"/>
          <w:sz w:val="22"/>
          <w:szCs w:val="22"/>
        </w:rPr>
        <w:t>–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3322A" w:rsidRPr="00B620AB">
        <w:rPr>
          <w:rFonts w:ascii="Bookman Old Style" w:hAnsi="Bookman Old Style"/>
          <w:sz w:val="22"/>
          <w:szCs w:val="22"/>
        </w:rPr>
        <w:t xml:space="preserve">Zsófia </w:t>
      </w:r>
      <w:r w:rsidRPr="00CE7218">
        <w:rPr>
          <w:rFonts w:ascii="Bookman Old Style" w:hAnsi="Bookman Old Style"/>
          <w:smallCaps/>
          <w:sz w:val="22"/>
          <w:szCs w:val="22"/>
        </w:rPr>
        <w:t>Ádám</w:t>
      </w:r>
      <w:r w:rsidRPr="00B620AB">
        <w:rPr>
          <w:rFonts w:ascii="Bookman Old Style" w:hAnsi="Bookman Old Style"/>
          <w:sz w:val="22"/>
          <w:szCs w:val="22"/>
        </w:rPr>
        <w:t xml:space="preserve"> </w:t>
      </w:r>
      <w:r w:rsidR="0093322A" w:rsidRPr="00B620AB">
        <w:rPr>
          <w:rFonts w:ascii="Bookman Old Style" w:hAnsi="Bookman Old Style"/>
          <w:sz w:val="22"/>
          <w:szCs w:val="22"/>
        </w:rPr>
        <w:t>–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3322A" w:rsidRPr="00B620AB">
        <w:rPr>
          <w:rFonts w:ascii="Bookman Old Style" w:hAnsi="Bookman Old Style"/>
          <w:sz w:val="22"/>
          <w:szCs w:val="22"/>
        </w:rPr>
        <w:t xml:space="preserve">István </w:t>
      </w:r>
      <w:r w:rsidRPr="00CE7218">
        <w:rPr>
          <w:rFonts w:ascii="Bookman Old Style" w:hAnsi="Bookman Old Style"/>
          <w:smallCaps/>
          <w:sz w:val="22"/>
          <w:szCs w:val="22"/>
        </w:rPr>
        <w:t>Faragó</w:t>
      </w:r>
      <w:r w:rsidRPr="00B620AB">
        <w:rPr>
          <w:rFonts w:ascii="Bookman Old Style" w:hAnsi="Bookman Old Style"/>
          <w:sz w:val="22"/>
          <w:szCs w:val="22"/>
        </w:rPr>
        <w:t>-</w:t>
      </w:r>
      <w:r w:rsidRPr="00CE7218">
        <w:rPr>
          <w:rFonts w:ascii="Bookman Old Style" w:hAnsi="Bookman Old Style"/>
          <w:smallCaps/>
          <w:sz w:val="22"/>
          <w:szCs w:val="22"/>
        </w:rPr>
        <w:t>Szabó</w:t>
      </w:r>
      <w:r w:rsidRPr="00B620AB">
        <w:rPr>
          <w:rFonts w:ascii="Bookman Old Style" w:hAnsi="Bookman Old Style"/>
          <w:sz w:val="22"/>
          <w:szCs w:val="22"/>
        </w:rPr>
        <w:t xml:space="preserve"> </w:t>
      </w:r>
      <w:r w:rsidR="0093322A" w:rsidRPr="00B620AB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>ed</w:t>
      </w:r>
      <w:r w:rsidR="0093322A" w:rsidRPr="00B620AB">
        <w:rPr>
          <w:rFonts w:ascii="Bookman Old Style" w:hAnsi="Bookman Old Style"/>
          <w:sz w:val="22"/>
          <w:szCs w:val="22"/>
        </w:rPr>
        <w:t xml:space="preserve">.): </w:t>
      </w:r>
      <w:proofErr w:type="spellStart"/>
      <w:r w:rsidR="0093322A" w:rsidRPr="00B620AB">
        <w:rPr>
          <w:rFonts w:ascii="Bookman Old Style" w:hAnsi="Bookman Old Style"/>
          <w:i/>
          <w:iCs/>
          <w:sz w:val="22"/>
          <w:szCs w:val="22"/>
        </w:rPr>
        <w:t>On</w:t>
      </w:r>
      <w:proofErr w:type="spellEnd"/>
      <w:r w:rsidR="0093322A" w:rsidRPr="00B620A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i/>
          <w:iCs/>
          <w:sz w:val="22"/>
          <w:szCs w:val="22"/>
        </w:rPr>
        <w:t>What</w:t>
      </w:r>
      <w:proofErr w:type="spellEnd"/>
      <w:r w:rsidR="0093322A" w:rsidRPr="00B620A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i/>
          <w:iCs/>
          <w:sz w:val="22"/>
          <w:szCs w:val="22"/>
        </w:rPr>
        <w:t>It</w:t>
      </w:r>
      <w:proofErr w:type="spellEnd"/>
      <w:r w:rsidR="0093322A" w:rsidRPr="00B620AB">
        <w:rPr>
          <w:rFonts w:ascii="Bookman Old Style" w:hAnsi="Bookman Old Style"/>
          <w:i/>
          <w:iCs/>
          <w:sz w:val="22"/>
          <w:szCs w:val="22"/>
        </w:rPr>
        <w:t xml:space="preserve"> Is: </w:t>
      </w:r>
      <w:proofErr w:type="spellStart"/>
      <w:r w:rsidR="0093322A" w:rsidRPr="00B620AB">
        <w:rPr>
          <w:rFonts w:ascii="Bookman Old Style" w:hAnsi="Bookman Old Style"/>
          <w:i/>
          <w:iCs/>
          <w:sz w:val="22"/>
          <w:szCs w:val="22"/>
        </w:rPr>
        <w:t>Perspectives</w:t>
      </w:r>
      <w:proofErr w:type="spellEnd"/>
      <w:r w:rsidR="0093322A" w:rsidRPr="00B620A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i/>
          <w:iCs/>
          <w:sz w:val="22"/>
          <w:szCs w:val="22"/>
        </w:rPr>
        <w:t>on</w:t>
      </w:r>
      <w:proofErr w:type="spellEnd"/>
      <w:r w:rsidR="0093322A" w:rsidRPr="00B620A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i/>
          <w:iCs/>
          <w:sz w:val="22"/>
          <w:szCs w:val="22"/>
        </w:rPr>
        <w:t>Metaphilosophy</w:t>
      </w:r>
      <w:proofErr w:type="spellEnd"/>
      <w:r w:rsidR="0093322A" w:rsidRPr="00B620AB">
        <w:rPr>
          <w:rFonts w:ascii="Bookman Old Style" w:hAnsi="Bookman Old Style"/>
          <w:i/>
          <w:iCs/>
          <w:sz w:val="22"/>
          <w:szCs w:val="22"/>
        </w:rPr>
        <w:t>,</w:t>
      </w:r>
      <w:r w:rsidR="0093322A"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Philosophy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Workshop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of Eötvös József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Collegium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>, Budapest, 233–268.</w:t>
      </w:r>
      <w:r w:rsidR="00BB4BD9" w:rsidRPr="00B620AB">
        <w:rPr>
          <w:rFonts w:ascii="Bookman Old Style" w:hAnsi="Bookman Old Style"/>
          <w:sz w:val="22"/>
          <w:szCs w:val="22"/>
        </w:rPr>
        <w:t xml:space="preserve"> </w:t>
      </w:r>
      <w:hyperlink r:id="rId7" w:anchor="v=onepage&amp;q=On%20What%20It%20Is%3A%20Perspectives%20on%20Metaphilosophy&amp;f=false" w:history="1">
        <w:r w:rsidR="00BB4BD9" w:rsidRPr="00B620AB">
          <w:rPr>
            <w:rStyle w:val="Hiperhivatkozs"/>
            <w:rFonts w:ascii="Bookman Old Style" w:hAnsi="Bookman Old Style"/>
            <w:sz w:val="22"/>
            <w:szCs w:val="22"/>
          </w:rPr>
          <w:t>Elérés</w:t>
        </w:r>
      </w:hyperlink>
    </w:p>
    <w:p w:rsidR="00534708" w:rsidRPr="00B620AB" w:rsidRDefault="00534708" w:rsidP="00B620AB">
      <w:pPr>
        <w:tabs>
          <w:tab w:val="left" w:pos="1418"/>
        </w:tabs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93322A" w:rsidRPr="00B620AB" w:rsidRDefault="0093322A" w:rsidP="00B620AB">
      <w:pPr>
        <w:tabs>
          <w:tab w:val="left" w:pos="1418"/>
        </w:tabs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B620AB">
        <w:rPr>
          <w:rFonts w:ascii="Bookman Old Style" w:hAnsi="Bookman Old Style"/>
          <w:b/>
          <w:bCs/>
          <w:sz w:val="22"/>
          <w:szCs w:val="22"/>
        </w:rPr>
        <w:t>2015</w:t>
      </w:r>
    </w:p>
    <w:p w:rsidR="0093322A" w:rsidRPr="00B620AB" w:rsidRDefault="0093322A" w:rsidP="00D70312">
      <w:pPr>
        <w:spacing w:after="120" w:line="276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620AB">
        <w:rPr>
          <w:rFonts w:ascii="Bookman Old Style" w:hAnsi="Bookman Old Style"/>
          <w:sz w:val="22"/>
          <w:szCs w:val="22"/>
        </w:rPr>
        <w:t xml:space="preserve">„Vigasztalan esetlegesség? Max Weber és </w:t>
      </w:r>
      <w:proofErr w:type="spellStart"/>
      <w:r w:rsidRPr="00B620AB">
        <w:rPr>
          <w:rFonts w:ascii="Bookman Old Style" w:hAnsi="Bookman Old Style"/>
          <w:sz w:val="22"/>
          <w:szCs w:val="22"/>
        </w:rPr>
        <w:t>Hannah</w:t>
      </w:r>
      <w:proofErr w:type="spellEnd"/>
      <w:r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620AB">
        <w:rPr>
          <w:rFonts w:ascii="Bookman Old Style" w:hAnsi="Bookman Old Style"/>
          <w:sz w:val="22"/>
          <w:szCs w:val="22"/>
        </w:rPr>
        <w:t>Arendt</w:t>
      </w:r>
      <w:proofErr w:type="spellEnd"/>
      <w:r w:rsidRPr="00B620AB">
        <w:rPr>
          <w:rFonts w:ascii="Bookman Old Style" w:hAnsi="Bookman Old Style"/>
          <w:sz w:val="22"/>
          <w:szCs w:val="22"/>
        </w:rPr>
        <w:t xml:space="preserve"> a kauzalitásról”, </w:t>
      </w:r>
      <w:r w:rsidRPr="00B620AB">
        <w:rPr>
          <w:rFonts w:ascii="Bookman Old Style" w:hAnsi="Bookman Old Style"/>
          <w:i/>
          <w:sz w:val="22"/>
          <w:szCs w:val="22"/>
        </w:rPr>
        <w:t>Magyar Filozófia Szemle</w:t>
      </w:r>
      <w:r w:rsidRPr="00B620AB">
        <w:rPr>
          <w:rFonts w:ascii="Bookman Old Style" w:hAnsi="Bookman Old Style"/>
          <w:sz w:val="22"/>
          <w:szCs w:val="22"/>
        </w:rPr>
        <w:t xml:space="preserve">, </w:t>
      </w:r>
      <w:r w:rsidR="00BB4BD9" w:rsidRPr="00B620AB">
        <w:rPr>
          <w:rFonts w:ascii="Bookman Old Style" w:hAnsi="Bookman Old Style"/>
          <w:sz w:val="22"/>
          <w:szCs w:val="22"/>
        </w:rPr>
        <w:t>LIX</w:t>
      </w:r>
      <w:r w:rsidRPr="00B620AB">
        <w:rPr>
          <w:rFonts w:ascii="Bookman Old Style" w:hAnsi="Bookman Old Style"/>
          <w:sz w:val="22"/>
          <w:szCs w:val="22"/>
        </w:rPr>
        <w:t>/1, 147–164.</w:t>
      </w:r>
      <w:r w:rsidR="00BB4BD9" w:rsidRPr="00B620AB">
        <w:rPr>
          <w:rFonts w:ascii="Bookman Old Style" w:hAnsi="Bookman Old Style"/>
          <w:sz w:val="22"/>
          <w:szCs w:val="22"/>
        </w:rPr>
        <w:t xml:space="preserve"> </w:t>
      </w:r>
    </w:p>
    <w:p w:rsidR="0093322A" w:rsidRPr="00B620AB" w:rsidRDefault="0093322A" w:rsidP="00D70312">
      <w:pPr>
        <w:spacing w:after="120" w:line="276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620AB">
        <w:rPr>
          <w:rFonts w:ascii="Bookman Old Style" w:hAnsi="Bookman Old Style"/>
          <w:sz w:val="22"/>
          <w:szCs w:val="22"/>
        </w:rPr>
        <w:t xml:space="preserve">„Egy ok és más semmi”, </w:t>
      </w:r>
      <w:r w:rsidRPr="00B620AB">
        <w:rPr>
          <w:rFonts w:ascii="Bookman Old Style" w:hAnsi="Bookman Old Style"/>
          <w:i/>
          <w:sz w:val="22"/>
          <w:szCs w:val="22"/>
        </w:rPr>
        <w:t xml:space="preserve">BUKSZ, </w:t>
      </w:r>
      <w:r w:rsidRPr="00B620AB">
        <w:rPr>
          <w:rFonts w:ascii="Bookman Old Style" w:hAnsi="Bookman Old Style"/>
          <w:sz w:val="22"/>
          <w:szCs w:val="22"/>
        </w:rPr>
        <w:t xml:space="preserve">XXVII/2, 185–191. </w:t>
      </w:r>
      <w:hyperlink r:id="rId8" w:history="1">
        <w:r w:rsidR="00BB4BD9" w:rsidRPr="00B620AB">
          <w:rPr>
            <w:rStyle w:val="Hiperhivatkozs"/>
            <w:rFonts w:ascii="Bookman Old Style" w:hAnsi="Bookman Old Style"/>
            <w:sz w:val="22"/>
            <w:szCs w:val="22"/>
          </w:rPr>
          <w:t>Elérés</w:t>
        </w:r>
      </w:hyperlink>
    </w:p>
    <w:p w:rsidR="0093322A" w:rsidRPr="00B620AB" w:rsidRDefault="0093322A" w:rsidP="00D70312">
      <w:pPr>
        <w:spacing w:after="120" w:line="276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620AB">
        <w:rPr>
          <w:rFonts w:ascii="Bookman Old Style" w:hAnsi="Bookman Old Style"/>
          <w:sz w:val="22"/>
          <w:szCs w:val="22"/>
        </w:rPr>
        <w:t xml:space="preserve">„Típusok a tükörben. Max Weber és a kínai </w:t>
      </w:r>
      <w:proofErr w:type="spellStart"/>
      <w:r w:rsidRPr="00B620AB">
        <w:rPr>
          <w:rFonts w:ascii="Bookman Old Style" w:hAnsi="Bookman Old Style"/>
          <w:sz w:val="22"/>
          <w:szCs w:val="22"/>
        </w:rPr>
        <w:t>patrimoniális</w:t>
      </w:r>
      <w:proofErr w:type="spellEnd"/>
      <w:r w:rsidRPr="00B620AB">
        <w:rPr>
          <w:rFonts w:ascii="Bookman Old Style" w:hAnsi="Bookman Old Style"/>
          <w:sz w:val="22"/>
          <w:szCs w:val="22"/>
        </w:rPr>
        <w:t xml:space="preserve"> bürokrácia”, </w:t>
      </w:r>
      <w:r w:rsidRPr="00B620AB">
        <w:rPr>
          <w:rFonts w:ascii="Bookman Old Style" w:hAnsi="Bookman Old Style"/>
          <w:i/>
          <w:sz w:val="22"/>
          <w:szCs w:val="22"/>
        </w:rPr>
        <w:t>Szociológiai Szemle,</w:t>
      </w:r>
      <w:r w:rsidRPr="00B620AB">
        <w:rPr>
          <w:rFonts w:ascii="Bookman Old Style" w:hAnsi="Bookman Old Style"/>
          <w:sz w:val="22"/>
          <w:szCs w:val="22"/>
        </w:rPr>
        <w:t xml:space="preserve"> XXV/2, 73–89.</w:t>
      </w:r>
      <w:r w:rsidR="00BB4BD9" w:rsidRPr="00B620AB">
        <w:rPr>
          <w:rFonts w:ascii="Bookman Old Style" w:hAnsi="Bookman Old Style"/>
          <w:sz w:val="22"/>
          <w:szCs w:val="22"/>
        </w:rPr>
        <w:t xml:space="preserve"> </w:t>
      </w:r>
      <w:hyperlink r:id="rId9" w:history="1">
        <w:r w:rsidR="00BB4BD9" w:rsidRPr="00B620AB">
          <w:rPr>
            <w:rStyle w:val="Hiperhivatkozs"/>
            <w:rFonts w:ascii="Bookman Old Style" w:hAnsi="Bookman Old Style"/>
            <w:sz w:val="22"/>
            <w:szCs w:val="22"/>
          </w:rPr>
          <w:t>Elérés</w:t>
        </w:r>
      </w:hyperlink>
    </w:p>
    <w:p w:rsidR="0093322A" w:rsidRPr="00B620AB" w:rsidRDefault="00CE7218" w:rsidP="00B620AB">
      <w:pPr>
        <w:spacing w:line="276" w:lineRule="auto"/>
        <w:ind w:left="851" w:hanging="42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Distinguishing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Names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–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Identifying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Reigns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: The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Role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of </w:t>
      </w:r>
      <w:r w:rsidR="0093322A" w:rsidRPr="00B620AB">
        <w:rPr>
          <w:rFonts w:ascii="Bookman Old Style" w:hAnsi="Bookman Old Style"/>
          <w:i/>
          <w:sz w:val="22"/>
          <w:szCs w:val="22"/>
        </w:rPr>
        <w:t>Ten</w:t>
      </w:r>
      <w:r w:rsidR="0093322A" w:rsidRPr="00B620AB">
        <w:rPr>
          <w:rFonts w:ascii="Bookman Old Style" w:hAnsi="Bookman Old Style"/>
          <w:sz w:val="22"/>
          <w:szCs w:val="22"/>
        </w:rPr>
        <w:t>/</w:t>
      </w:r>
      <w:proofErr w:type="spellStart"/>
      <w:r w:rsidR="0093322A" w:rsidRPr="00B620AB">
        <w:rPr>
          <w:rFonts w:ascii="Bookman Old Style" w:hAnsi="Bookman Old Style"/>
          <w:i/>
          <w:sz w:val="22"/>
          <w:szCs w:val="22"/>
        </w:rPr>
        <w:t>Tian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in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Ogyū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sz w:val="22"/>
          <w:szCs w:val="22"/>
        </w:rPr>
        <w:t>Sorai’s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i/>
          <w:sz w:val="22"/>
          <w:szCs w:val="22"/>
        </w:rPr>
        <w:t>Bendō</w:t>
      </w:r>
      <w:proofErr w:type="spellEnd"/>
      <w:r w:rsidR="0093322A" w:rsidRPr="00B620AB">
        <w:rPr>
          <w:rFonts w:ascii="Bookman Old Style" w:hAnsi="Bookman Old Style"/>
          <w:sz w:val="22"/>
          <w:szCs w:val="22"/>
        </w:rPr>
        <w:t xml:space="preserve"> and </w:t>
      </w:r>
      <w:proofErr w:type="spellStart"/>
      <w:r w:rsidR="0093322A" w:rsidRPr="00B620AB">
        <w:rPr>
          <w:rFonts w:ascii="Bookman Old Style" w:hAnsi="Bookman Old Style"/>
          <w:i/>
          <w:sz w:val="22"/>
          <w:szCs w:val="22"/>
        </w:rPr>
        <w:t>Benmei</w:t>
      </w:r>
      <w:proofErr w:type="spellEnd"/>
      <w:r w:rsidR="0093322A" w:rsidRPr="00B620AB">
        <w:rPr>
          <w:rFonts w:ascii="Bookman Old Style" w:hAnsi="Bookman Old Style"/>
          <w:i/>
          <w:sz w:val="22"/>
          <w:szCs w:val="22"/>
        </w:rPr>
        <w:t>.</w:t>
      </w:r>
      <w:r w:rsidR="0093322A" w:rsidRPr="00B620AB">
        <w:rPr>
          <w:rFonts w:ascii="Bookman Old Style" w:hAnsi="Bookman Old Style"/>
          <w:sz w:val="22"/>
          <w:szCs w:val="22"/>
        </w:rPr>
        <w:t xml:space="preserve">” </w:t>
      </w:r>
      <w:r w:rsidR="0093322A" w:rsidRPr="00C24247">
        <w:rPr>
          <w:rFonts w:ascii="Bookman Old Style" w:hAnsi="Bookman Old Style"/>
          <w:i/>
          <w:iCs/>
          <w:sz w:val="22"/>
          <w:szCs w:val="22"/>
        </w:rPr>
        <w:t>In</w:t>
      </w:r>
      <w:r w:rsidR="0093322A" w:rsidRPr="00B620AB">
        <w:rPr>
          <w:rFonts w:ascii="Bookman Old Style" w:hAnsi="Bookman Old Style"/>
          <w:sz w:val="22"/>
          <w:szCs w:val="22"/>
        </w:rPr>
        <w:t xml:space="preserve"> Melinda </w:t>
      </w:r>
      <w:r w:rsidR="0093322A" w:rsidRPr="00B620AB">
        <w:rPr>
          <w:rFonts w:ascii="Bookman Old Style" w:hAnsi="Bookman Old Style"/>
          <w:smallCaps/>
          <w:sz w:val="22"/>
          <w:szCs w:val="22"/>
        </w:rPr>
        <w:t>Papp</w:t>
      </w:r>
      <w:r w:rsidR="0093322A" w:rsidRPr="00B620AB"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sz w:val="22"/>
          <w:szCs w:val="22"/>
        </w:rPr>
        <w:t>ed</w:t>
      </w:r>
      <w:r w:rsidR="0093322A" w:rsidRPr="00B620AB">
        <w:rPr>
          <w:rFonts w:ascii="Bookman Old Style" w:hAnsi="Bookman Old Style"/>
          <w:sz w:val="22"/>
          <w:szCs w:val="22"/>
        </w:rPr>
        <w:t xml:space="preserve">.): </w:t>
      </w:r>
      <w:proofErr w:type="spellStart"/>
      <w:r w:rsidR="0093322A" w:rsidRPr="00B620AB">
        <w:rPr>
          <w:rFonts w:ascii="Bookman Old Style" w:hAnsi="Bookman Old Style"/>
          <w:i/>
          <w:sz w:val="22"/>
          <w:szCs w:val="22"/>
        </w:rPr>
        <w:t>Encounters</w:t>
      </w:r>
      <w:proofErr w:type="spellEnd"/>
      <w:r w:rsidR="0093322A" w:rsidRPr="00B620AB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i/>
          <w:sz w:val="22"/>
          <w:szCs w:val="22"/>
        </w:rPr>
        <w:t>with</w:t>
      </w:r>
      <w:proofErr w:type="spellEnd"/>
      <w:r w:rsidR="0093322A" w:rsidRPr="00B620AB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i/>
          <w:sz w:val="22"/>
          <w:szCs w:val="22"/>
        </w:rPr>
        <w:t>Japan</w:t>
      </w:r>
      <w:proofErr w:type="spellEnd"/>
      <w:r w:rsidR="0093322A" w:rsidRPr="00B620AB">
        <w:rPr>
          <w:rFonts w:ascii="Bookman Old Style" w:hAnsi="Bookman Old Style"/>
          <w:i/>
          <w:sz w:val="22"/>
          <w:szCs w:val="22"/>
        </w:rPr>
        <w:t xml:space="preserve">. </w:t>
      </w:r>
      <w:proofErr w:type="spellStart"/>
      <w:r w:rsidR="0093322A" w:rsidRPr="00B620AB">
        <w:rPr>
          <w:rFonts w:ascii="Bookman Old Style" w:hAnsi="Bookman Old Style"/>
          <w:i/>
          <w:sz w:val="22"/>
          <w:szCs w:val="22"/>
        </w:rPr>
        <w:t>Japanese</w:t>
      </w:r>
      <w:proofErr w:type="spellEnd"/>
      <w:r w:rsidR="0093322A" w:rsidRPr="00B620AB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i/>
          <w:sz w:val="22"/>
          <w:szCs w:val="22"/>
        </w:rPr>
        <w:t>Studies</w:t>
      </w:r>
      <w:proofErr w:type="spellEnd"/>
      <w:r w:rsidR="0093322A" w:rsidRPr="00B620AB">
        <w:rPr>
          <w:rFonts w:ascii="Bookman Old Style" w:hAnsi="Bookman Old Style"/>
          <w:i/>
          <w:sz w:val="22"/>
          <w:szCs w:val="22"/>
        </w:rPr>
        <w:t xml:space="preserve"> in </w:t>
      </w:r>
      <w:proofErr w:type="spellStart"/>
      <w:r w:rsidR="0093322A" w:rsidRPr="00B620AB">
        <w:rPr>
          <w:rFonts w:ascii="Bookman Old Style" w:hAnsi="Bookman Old Style"/>
          <w:i/>
          <w:sz w:val="22"/>
          <w:szCs w:val="22"/>
        </w:rPr>
        <w:t>the</w:t>
      </w:r>
      <w:proofErr w:type="spellEnd"/>
      <w:r w:rsidR="0093322A" w:rsidRPr="00B620AB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i/>
          <w:sz w:val="22"/>
          <w:szCs w:val="22"/>
        </w:rPr>
        <w:t>Visegrad</w:t>
      </w:r>
      <w:proofErr w:type="spellEnd"/>
      <w:r w:rsidR="0093322A" w:rsidRPr="00B620AB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i/>
          <w:sz w:val="22"/>
          <w:szCs w:val="22"/>
        </w:rPr>
        <w:t>Four</w:t>
      </w:r>
      <w:proofErr w:type="spellEnd"/>
      <w:r w:rsidR="0093322A" w:rsidRPr="00B620AB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93322A" w:rsidRPr="00B620AB">
        <w:rPr>
          <w:rFonts w:ascii="Bookman Old Style" w:hAnsi="Bookman Old Style"/>
          <w:i/>
          <w:sz w:val="22"/>
          <w:szCs w:val="22"/>
        </w:rPr>
        <w:t>Countries</w:t>
      </w:r>
      <w:proofErr w:type="spellEnd"/>
      <w:r w:rsidR="0093322A" w:rsidRPr="00B620AB">
        <w:rPr>
          <w:rFonts w:ascii="Bookman Old Style" w:hAnsi="Bookman Old Style"/>
          <w:i/>
          <w:sz w:val="22"/>
          <w:szCs w:val="22"/>
        </w:rPr>
        <w:t xml:space="preserve">, </w:t>
      </w:r>
      <w:r w:rsidR="0093322A" w:rsidRPr="00B620AB">
        <w:rPr>
          <w:rFonts w:ascii="Bookman Old Style" w:hAnsi="Bookman Old Style"/>
          <w:sz w:val="22"/>
          <w:szCs w:val="22"/>
        </w:rPr>
        <w:t>ELTE University Press – Eötvös Loránd University, Budapest, 223–253.</w:t>
      </w:r>
    </w:p>
    <w:p w:rsidR="00534708" w:rsidRPr="00B620AB" w:rsidRDefault="00534708" w:rsidP="00B620AB">
      <w:pPr>
        <w:tabs>
          <w:tab w:val="left" w:pos="1418"/>
        </w:tabs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93322A" w:rsidRPr="00B620AB" w:rsidRDefault="0093322A" w:rsidP="00B620AB">
      <w:pPr>
        <w:tabs>
          <w:tab w:val="left" w:pos="1418"/>
        </w:tabs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B620AB">
        <w:rPr>
          <w:rFonts w:ascii="Bookman Old Style" w:hAnsi="Bookman Old Style"/>
          <w:b/>
          <w:bCs/>
          <w:sz w:val="22"/>
          <w:szCs w:val="22"/>
        </w:rPr>
        <w:t>2014</w:t>
      </w:r>
    </w:p>
    <w:p w:rsidR="00534708" w:rsidRPr="00B620AB" w:rsidRDefault="00534708" w:rsidP="00D70312">
      <w:pPr>
        <w:spacing w:after="120" w:line="276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620AB">
        <w:rPr>
          <w:rFonts w:ascii="Bookman Old Style" w:hAnsi="Bookman Old Style"/>
          <w:sz w:val="22"/>
          <w:szCs w:val="22"/>
        </w:rPr>
        <w:t xml:space="preserve"> „A hasonlóság tanítói és a tanítók </w:t>
      </w:r>
      <w:r w:rsidRPr="00B620AB">
        <w:rPr>
          <w:rFonts w:ascii="Bookman Old Style" w:hAnsi="Bookman Old Style"/>
          <w:sz w:val="22"/>
          <w:szCs w:val="22"/>
          <w:lang w:eastAsia="ja-JP"/>
        </w:rPr>
        <w:t>hasonlósága</w:t>
      </w:r>
      <w:r w:rsidRPr="00B620AB">
        <w:rPr>
          <w:rFonts w:ascii="Bookman Old Style" w:hAnsi="Bookman Old Style"/>
          <w:sz w:val="22"/>
          <w:szCs w:val="22"/>
        </w:rPr>
        <w:t xml:space="preserve">”, </w:t>
      </w:r>
      <w:proofErr w:type="spellStart"/>
      <w:r w:rsidRPr="00B620AB">
        <w:rPr>
          <w:rFonts w:ascii="Bookman Old Style" w:hAnsi="Bookman Old Style"/>
          <w:i/>
          <w:sz w:val="22"/>
          <w:szCs w:val="22"/>
        </w:rPr>
        <w:t>Elpis</w:t>
      </w:r>
      <w:proofErr w:type="spellEnd"/>
      <w:r w:rsidRPr="00B620AB">
        <w:rPr>
          <w:rFonts w:ascii="Bookman Old Style" w:hAnsi="Bookman Old Style"/>
          <w:i/>
          <w:sz w:val="22"/>
          <w:szCs w:val="22"/>
        </w:rPr>
        <w:t xml:space="preserve"> Filozófiai Folyóirat, </w:t>
      </w:r>
      <w:r w:rsidRPr="00B620AB">
        <w:rPr>
          <w:rFonts w:ascii="Bookman Old Style" w:hAnsi="Bookman Old Style"/>
          <w:iCs/>
          <w:sz w:val="22"/>
          <w:szCs w:val="22"/>
        </w:rPr>
        <w:t xml:space="preserve">2014/1, 161–183. </w:t>
      </w:r>
      <w:hyperlink r:id="rId10" w:history="1">
        <w:r w:rsidRPr="00B620AB">
          <w:rPr>
            <w:rStyle w:val="Hiperhivatkozs"/>
            <w:rFonts w:ascii="Bookman Old Style" w:hAnsi="Bookman Old Style"/>
            <w:sz w:val="22"/>
            <w:szCs w:val="22"/>
          </w:rPr>
          <w:t>Elérés</w:t>
        </w:r>
      </w:hyperlink>
    </w:p>
    <w:p w:rsidR="0093322A" w:rsidRPr="00B620AB" w:rsidRDefault="0093322A" w:rsidP="00B620AB">
      <w:pPr>
        <w:spacing w:line="276" w:lineRule="auto"/>
        <w:ind w:left="851" w:hanging="425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620AB">
        <w:rPr>
          <w:rFonts w:ascii="Bookman Old Style" w:hAnsi="Bookman Old Style"/>
          <w:sz w:val="22"/>
          <w:szCs w:val="22"/>
        </w:rPr>
        <w:t xml:space="preserve">„Az </w:t>
      </w:r>
      <w:r w:rsidRPr="00B620AB">
        <w:rPr>
          <w:rFonts w:ascii="Bookman Old Style" w:hAnsi="Bookman Old Style"/>
          <w:sz w:val="22"/>
          <w:szCs w:val="22"/>
          <w:lang w:eastAsia="ja-JP"/>
        </w:rPr>
        <w:t>amerikai</w:t>
      </w:r>
      <w:r w:rsidRPr="00B620AB">
        <w:rPr>
          <w:rFonts w:ascii="Bookman Old Style" w:hAnsi="Bookman Old Style"/>
          <w:sz w:val="22"/>
          <w:szCs w:val="22"/>
        </w:rPr>
        <w:t xml:space="preserve"> demokrácia és a </w:t>
      </w:r>
      <w:r w:rsidRPr="00B620AB">
        <w:rPr>
          <w:rFonts w:ascii="Bookman Old Style" w:hAnsi="Bookman Old Style"/>
          <w:sz w:val="22"/>
          <w:szCs w:val="22"/>
          <w:lang w:eastAsia="ja-JP"/>
        </w:rPr>
        <w:t>kínai</w:t>
      </w:r>
      <w:r w:rsidRPr="00B620AB">
        <w:rPr>
          <w:rFonts w:ascii="Bookman Old Style" w:hAnsi="Bookman Old Style"/>
          <w:sz w:val="22"/>
          <w:szCs w:val="22"/>
        </w:rPr>
        <w:t xml:space="preserve"> despotizmus. </w:t>
      </w:r>
      <w:proofErr w:type="spellStart"/>
      <w:r w:rsidRPr="00B620AB">
        <w:rPr>
          <w:rFonts w:ascii="Bookman Old Style" w:hAnsi="Bookman Old Style"/>
          <w:sz w:val="22"/>
          <w:szCs w:val="22"/>
        </w:rPr>
        <w:t>Tocqueville</w:t>
      </w:r>
      <w:proofErr w:type="spellEnd"/>
      <w:r w:rsidRPr="00B620AB">
        <w:rPr>
          <w:rFonts w:ascii="Bookman Old Style" w:hAnsi="Bookman Old Style"/>
          <w:sz w:val="22"/>
          <w:szCs w:val="22"/>
        </w:rPr>
        <w:t xml:space="preserve"> Kína-képének alakulástörténetéről”, </w:t>
      </w:r>
      <w:r w:rsidRPr="00B620AB">
        <w:rPr>
          <w:rFonts w:ascii="Bookman Old Style" w:hAnsi="Bookman Old Style"/>
          <w:i/>
          <w:iCs/>
          <w:sz w:val="22"/>
          <w:szCs w:val="22"/>
        </w:rPr>
        <w:t xml:space="preserve">Holmi, </w:t>
      </w:r>
      <w:r w:rsidRPr="00B620AB">
        <w:rPr>
          <w:rFonts w:ascii="Bookman Old Style" w:hAnsi="Bookman Old Style"/>
          <w:sz w:val="22"/>
          <w:szCs w:val="22"/>
        </w:rPr>
        <w:t>2014/4, 402–429.</w:t>
      </w:r>
      <w:r w:rsidR="00534708" w:rsidRPr="00B620AB">
        <w:rPr>
          <w:rFonts w:ascii="Bookman Old Style" w:hAnsi="Bookman Old Style"/>
          <w:sz w:val="22"/>
          <w:szCs w:val="22"/>
        </w:rPr>
        <w:t xml:space="preserve"> </w:t>
      </w:r>
      <w:hyperlink r:id="rId11" w:history="1">
        <w:r w:rsidR="00534708" w:rsidRPr="00B620AB">
          <w:rPr>
            <w:rStyle w:val="Hiperhivatkozs"/>
            <w:rFonts w:ascii="Bookman Old Style" w:hAnsi="Bookman Old Style"/>
            <w:sz w:val="22"/>
            <w:szCs w:val="22"/>
          </w:rPr>
          <w:t>Elérés</w:t>
        </w:r>
      </w:hyperlink>
    </w:p>
    <w:p w:rsidR="00534708" w:rsidRPr="00B620AB" w:rsidRDefault="00534708" w:rsidP="00B620AB">
      <w:pPr>
        <w:tabs>
          <w:tab w:val="left" w:pos="1418"/>
        </w:tabs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93322A" w:rsidRPr="00B620AB" w:rsidRDefault="0093322A" w:rsidP="00B620AB">
      <w:pPr>
        <w:tabs>
          <w:tab w:val="left" w:pos="1418"/>
        </w:tabs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B620AB">
        <w:rPr>
          <w:rFonts w:ascii="Bookman Old Style" w:hAnsi="Bookman Old Style"/>
          <w:b/>
          <w:bCs/>
          <w:sz w:val="22"/>
          <w:szCs w:val="22"/>
        </w:rPr>
        <w:t>2013</w:t>
      </w:r>
    </w:p>
    <w:p w:rsidR="00534708" w:rsidRPr="00B620AB" w:rsidRDefault="00534708" w:rsidP="00D70312">
      <w:pPr>
        <w:spacing w:after="120" w:line="276" w:lineRule="auto"/>
        <w:ind w:left="850" w:hanging="425"/>
        <w:jc w:val="both"/>
        <w:rPr>
          <w:rFonts w:ascii="Bookman Old Style" w:hAnsi="Bookman Old Style"/>
          <w:smallCaps/>
          <w:spacing w:val="-2"/>
          <w:sz w:val="22"/>
          <w:szCs w:val="22"/>
        </w:rPr>
      </w:pPr>
      <w:r w:rsidRPr="00B620AB">
        <w:rPr>
          <w:rFonts w:ascii="Bookman Old Style" w:hAnsi="Bookman Old Style"/>
          <w:spacing w:val="-2"/>
          <w:sz w:val="22"/>
          <w:szCs w:val="22"/>
        </w:rPr>
        <w:t xml:space="preserve">„Mit jelent a </w:t>
      </w:r>
      <w:r w:rsidRPr="00B620AB">
        <w:rPr>
          <w:rFonts w:ascii="Bookman Old Style" w:hAnsi="Bookman Old Style"/>
          <w:sz w:val="22"/>
          <w:szCs w:val="22"/>
        </w:rPr>
        <w:t>fordítás</w:t>
      </w:r>
      <w:r w:rsidRPr="00B620AB">
        <w:rPr>
          <w:rFonts w:ascii="Bookman Old Style" w:hAnsi="Bookman Old Style"/>
          <w:spacing w:val="-2"/>
          <w:sz w:val="22"/>
          <w:szCs w:val="22"/>
        </w:rPr>
        <w:t xml:space="preserve">? Őri Sándor: </w:t>
      </w:r>
      <w:proofErr w:type="spellStart"/>
      <w:r w:rsidRPr="00B620AB">
        <w:rPr>
          <w:rFonts w:ascii="Bookman Old Style" w:hAnsi="Bookman Old Style"/>
          <w:i/>
          <w:spacing w:val="-2"/>
          <w:sz w:val="22"/>
          <w:szCs w:val="22"/>
        </w:rPr>
        <w:t>Lun</w:t>
      </w:r>
      <w:proofErr w:type="spellEnd"/>
      <w:r w:rsidRPr="00B620AB">
        <w:rPr>
          <w:rFonts w:ascii="Bookman Old Style" w:hAnsi="Bookman Old Style"/>
          <w:i/>
          <w:spacing w:val="-2"/>
          <w:sz w:val="22"/>
          <w:szCs w:val="22"/>
        </w:rPr>
        <w:t xml:space="preserve"> </w:t>
      </w:r>
      <w:proofErr w:type="spellStart"/>
      <w:r w:rsidRPr="00B620AB">
        <w:rPr>
          <w:rFonts w:ascii="Bookman Old Style" w:hAnsi="Bookman Old Style"/>
          <w:i/>
          <w:spacing w:val="-2"/>
          <w:sz w:val="22"/>
          <w:szCs w:val="22"/>
        </w:rPr>
        <w:t>jü</w:t>
      </w:r>
      <w:proofErr w:type="spellEnd"/>
      <w:r w:rsidRPr="00B620AB">
        <w:rPr>
          <w:rFonts w:ascii="Bookman Old Style" w:hAnsi="Bookman Old Style"/>
          <w:i/>
          <w:spacing w:val="-2"/>
          <w:sz w:val="22"/>
          <w:szCs w:val="22"/>
        </w:rPr>
        <w:t>.</w:t>
      </w:r>
      <w:r w:rsidRPr="00B620AB">
        <w:rPr>
          <w:rFonts w:ascii="Bookman Old Style" w:hAnsi="Bookman Old Style"/>
          <w:spacing w:val="-2"/>
          <w:sz w:val="22"/>
          <w:szCs w:val="22"/>
        </w:rPr>
        <w:t xml:space="preserve">”, </w:t>
      </w:r>
      <w:r w:rsidRPr="00B620AB">
        <w:rPr>
          <w:rFonts w:ascii="Bookman Old Style" w:hAnsi="Bookman Old Style"/>
          <w:i/>
          <w:spacing w:val="-2"/>
          <w:sz w:val="22"/>
          <w:szCs w:val="22"/>
        </w:rPr>
        <w:t>Magyar</w:t>
      </w:r>
      <w:r w:rsidRPr="00B620AB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B620AB">
        <w:rPr>
          <w:rFonts w:ascii="Bookman Old Style" w:hAnsi="Bookman Old Style"/>
          <w:i/>
          <w:spacing w:val="-2"/>
          <w:sz w:val="22"/>
          <w:szCs w:val="22"/>
        </w:rPr>
        <w:t xml:space="preserve">Filozófiai Szemle, </w:t>
      </w:r>
      <w:r w:rsidR="00BB4BD9" w:rsidRPr="00B620AB">
        <w:rPr>
          <w:rFonts w:ascii="Bookman Old Style" w:hAnsi="Bookman Old Style"/>
          <w:spacing w:val="-2"/>
          <w:sz w:val="22"/>
          <w:szCs w:val="22"/>
        </w:rPr>
        <w:t>LVII</w:t>
      </w:r>
      <w:r w:rsidRPr="00B620AB">
        <w:rPr>
          <w:rFonts w:ascii="Bookman Old Style" w:hAnsi="Bookman Old Style"/>
          <w:spacing w:val="-2"/>
          <w:sz w:val="22"/>
          <w:szCs w:val="22"/>
        </w:rPr>
        <w:t>/1, 183–191</w:t>
      </w:r>
      <w:r w:rsidRPr="00B620AB">
        <w:rPr>
          <w:rFonts w:ascii="Bookman Old Style" w:hAnsi="Bookman Old Style"/>
          <w:i/>
          <w:spacing w:val="-2"/>
          <w:sz w:val="22"/>
          <w:szCs w:val="22"/>
        </w:rPr>
        <w:t>.</w:t>
      </w:r>
      <w:r w:rsidRPr="00B620AB">
        <w:rPr>
          <w:rFonts w:ascii="Bookman Old Style" w:hAnsi="Bookman Old Style"/>
          <w:spacing w:val="-2"/>
          <w:sz w:val="22"/>
          <w:szCs w:val="22"/>
        </w:rPr>
        <w:t xml:space="preserve"> </w:t>
      </w:r>
      <w:hyperlink r:id="rId12" w:history="1">
        <w:r w:rsidRPr="00B620AB">
          <w:rPr>
            <w:rStyle w:val="Hiperhivatkozs"/>
            <w:rFonts w:ascii="Bookman Old Style" w:hAnsi="Bookman Old Style"/>
            <w:spacing w:val="-2"/>
            <w:sz w:val="22"/>
            <w:szCs w:val="22"/>
          </w:rPr>
          <w:t>Elérés</w:t>
        </w:r>
      </w:hyperlink>
    </w:p>
    <w:p w:rsidR="007B75D1" w:rsidRPr="00B620AB" w:rsidRDefault="007B75D1" w:rsidP="00D70312">
      <w:pPr>
        <w:spacing w:after="120" w:line="276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620AB">
        <w:rPr>
          <w:rFonts w:ascii="Bookman Old Style" w:hAnsi="Bookman Old Style"/>
          <w:sz w:val="22"/>
          <w:szCs w:val="22"/>
        </w:rPr>
        <w:t xml:space="preserve">„Érvek, </w:t>
      </w:r>
      <w:r w:rsidRPr="00B620AB">
        <w:rPr>
          <w:rFonts w:ascii="Bookman Old Style" w:hAnsi="Bookman Old Style"/>
          <w:sz w:val="22"/>
          <w:szCs w:val="22"/>
          <w:lang w:eastAsia="ja-JP"/>
        </w:rPr>
        <w:t>technikák</w:t>
      </w:r>
      <w:r w:rsidRPr="00B620AB">
        <w:rPr>
          <w:rFonts w:ascii="Bookman Old Style" w:hAnsi="Bookman Old Style"/>
          <w:sz w:val="22"/>
          <w:szCs w:val="22"/>
        </w:rPr>
        <w:t xml:space="preserve">, autoritások: </w:t>
      </w:r>
      <w:proofErr w:type="spellStart"/>
      <w:r w:rsidRPr="00B620AB">
        <w:rPr>
          <w:rFonts w:ascii="Bookman Old Style" w:hAnsi="Bookman Old Style"/>
          <w:sz w:val="22"/>
          <w:szCs w:val="22"/>
        </w:rPr>
        <w:t>Matteo</w:t>
      </w:r>
      <w:proofErr w:type="spellEnd"/>
      <w:r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620AB">
        <w:rPr>
          <w:rFonts w:ascii="Bookman Old Style" w:hAnsi="Bookman Old Style"/>
          <w:sz w:val="22"/>
          <w:szCs w:val="22"/>
        </w:rPr>
        <w:t>Ricci</w:t>
      </w:r>
      <w:proofErr w:type="spellEnd"/>
      <w:r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620AB">
        <w:rPr>
          <w:rFonts w:ascii="Bookman Old Style" w:hAnsi="Bookman Old Style"/>
          <w:i/>
          <w:sz w:val="22"/>
          <w:szCs w:val="22"/>
        </w:rPr>
        <w:t>Tianzhu</w:t>
      </w:r>
      <w:proofErr w:type="spellEnd"/>
      <w:r w:rsidRPr="00B620AB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B620AB">
        <w:rPr>
          <w:rFonts w:ascii="Bookman Old Style" w:hAnsi="Bookman Old Style"/>
          <w:i/>
          <w:sz w:val="22"/>
          <w:szCs w:val="22"/>
        </w:rPr>
        <w:t>shiyi</w:t>
      </w:r>
      <w:r w:rsidRPr="00B620AB">
        <w:rPr>
          <w:rFonts w:ascii="Bookman Old Style" w:hAnsi="Bookman Old Style"/>
          <w:sz w:val="22"/>
          <w:szCs w:val="22"/>
        </w:rPr>
        <w:t>jének</w:t>
      </w:r>
      <w:proofErr w:type="spellEnd"/>
      <w:r w:rsidRPr="00B620AB">
        <w:rPr>
          <w:rFonts w:ascii="Bookman Old Style" w:hAnsi="Bookman Old Style"/>
          <w:sz w:val="22"/>
          <w:szCs w:val="22"/>
        </w:rPr>
        <w:t xml:space="preserve"> érvelési módszeréről”. </w:t>
      </w:r>
      <w:r w:rsidRPr="00C24247">
        <w:rPr>
          <w:rFonts w:ascii="Bookman Old Style" w:hAnsi="Bookman Old Style"/>
          <w:i/>
          <w:iCs/>
          <w:sz w:val="22"/>
          <w:szCs w:val="22"/>
        </w:rPr>
        <w:t>In</w:t>
      </w:r>
      <w:r w:rsidRPr="00B620AB">
        <w:rPr>
          <w:rFonts w:ascii="Bookman Old Style" w:hAnsi="Bookman Old Style"/>
          <w:sz w:val="22"/>
          <w:szCs w:val="22"/>
        </w:rPr>
        <w:t xml:space="preserve"> </w:t>
      </w:r>
      <w:r w:rsidRPr="00B620AB">
        <w:rPr>
          <w:rFonts w:ascii="Bookman Old Style" w:hAnsi="Bookman Old Style"/>
          <w:smallCaps/>
          <w:sz w:val="22"/>
          <w:szCs w:val="22"/>
        </w:rPr>
        <w:t>Takó</w:t>
      </w:r>
      <w:r w:rsidRPr="00B620AB">
        <w:rPr>
          <w:rFonts w:ascii="Bookman Old Style" w:hAnsi="Bookman Old Style"/>
          <w:sz w:val="22"/>
          <w:szCs w:val="22"/>
        </w:rPr>
        <w:t xml:space="preserve"> F. (</w:t>
      </w:r>
      <w:proofErr w:type="spellStart"/>
      <w:r w:rsidRPr="00B620AB">
        <w:rPr>
          <w:rFonts w:ascii="Bookman Old Style" w:hAnsi="Bookman Old Style"/>
          <w:sz w:val="22"/>
          <w:szCs w:val="22"/>
        </w:rPr>
        <w:t>szerk</w:t>
      </w:r>
      <w:proofErr w:type="spellEnd"/>
      <w:r w:rsidRPr="00B620AB">
        <w:rPr>
          <w:rFonts w:ascii="Bookman Old Style" w:hAnsi="Bookman Old Style"/>
          <w:sz w:val="22"/>
          <w:szCs w:val="22"/>
        </w:rPr>
        <w:t xml:space="preserve">.): </w:t>
      </w:r>
      <w:r w:rsidRPr="00B620AB">
        <w:rPr>
          <w:rFonts w:ascii="Bookman Old Style" w:hAnsi="Bookman Old Style"/>
          <w:i/>
          <w:sz w:val="22"/>
          <w:szCs w:val="22"/>
        </w:rPr>
        <w:t xml:space="preserve">„Közel, s Távol” II. – Az Eötvös </w:t>
      </w:r>
      <w:proofErr w:type="spellStart"/>
      <w:r w:rsidRPr="00B620AB">
        <w:rPr>
          <w:rFonts w:ascii="Bookman Old Style" w:hAnsi="Bookman Old Style"/>
          <w:i/>
          <w:sz w:val="22"/>
          <w:szCs w:val="22"/>
        </w:rPr>
        <w:t>Collegium</w:t>
      </w:r>
      <w:proofErr w:type="spellEnd"/>
      <w:r w:rsidRPr="00B620AB">
        <w:rPr>
          <w:rFonts w:ascii="Bookman Old Style" w:hAnsi="Bookman Old Style"/>
          <w:i/>
          <w:sz w:val="22"/>
          <w:szCs w:val="22"/>
        </w:rPr>
        <w:t xml:space="preserve"> Orientalisztika Műhely éves konferenciájának előadásaiból, </w:t>
      </w:r>
      <w:r w:rsidRPr="00B620AB">
        <w:rPr>
          <w:rFonts w:ascii="Bookman Old Style" w:hAnsi="Bookman Old Style"/>
          <w:sz w:val="22"/>
          <w:szCs w:val="22"/>
        </w:rPr>
        <w:t xml:space="preserve">Budapest, Eötvös </w:t>
      </w:r>
      <w:proofErr w:type="spellStart"/>
      <w:r w:rsidRPr="00B620AB">
        <w:rPr>
          <w:rFonts w:ascii="Bookman Old Style" w:hAnsi="Bookman Old Style"/>
          <w:sz w:val="22"/>
          <w:szCs w:val="22"/>
        </w:rPr>
        <w:t>Collegium</w:t>
      </w:r>
      <w:proofErr w:type="spellEnd"/>
      <w:r w:rsidRPr="00B620AB">
        <w:rPr>
          <w:rFonts w:ascii="Bookman Old Style" w:hAnsi="Bookman Old Style"/>
          <w:sz w:val="22"/>
          <w:szCs w:val="22"/>
        </w:rPr>
        <w:t xml:space="preserve">, 2013, 255–270. </w:t>
      </w:r>
      <w:hyperlink r:id="rId13" w:history="1">
        <w:r w:rsidRPr="00B620AB">
          <w:rPr>
            <w:rStyle w:val="Hiperhivatkozs"/>
            <w:rFonts w:ascii="Bookman Old Style" w:hAnsi="Bookman Old Style"/>
            <w:sz w:val="22"/>
            <w:szCs w:val="22"/>
          </w:rPr>
          <w:t>Elérés</w:t>
        </w:r>
      </w:hyperlink>
    </w:p>
    <w:p w:rsidR="007C4DE9" w:rsidRPr="00D70312" w:rsidRDefault="0093322A" w:rsidP="00D70312">
      <w:pPr>
        <w:spacing w:line="276" w:lineRule="auto"/>
        <w:ind w:left="851" w:hanging="425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620AB">
        <w:rPr>
          <w:rFonts w:ascii="Bookman Old Style" w:hAnsi="Bookman Old Style"/>
          <w:sz w:val="22"/>
          <w:szCs w:val="22"/>
        </w:rPr>
        <w:t xml:space="preserve">„Leibniz </w:t>
      </w:r>
      <w:r w:rsidRPr="00B620AB">
        <w:rPr>
          <w:rFonts w:ascii="Bookman Old Style" w:hAnsi="Bookman Old Style"/>
          <w:sz w:val="22"/>
          <w:szCs w:val="22"/>
          <w:lang w:eastAsia="ja-JP"/>
        </w:rPr>
        <w:t>Kínája</w:t>
      </w:r>
      <w:r w:rsidRPr="00B620AB">
        <w:rPr>
          <w:rFonts w:ascii="Bookman Old Style" w:hAnsi="Bookman Old Style"/>
          <w:sz w:val="22"/>
          <w:szCs w:val="22"/>
        </w:rPr>
        <w:t xml:space="preserve">”. </w:t>
      </w:r>
      <w:r w:rsidRPr="00C24247">
        <w:rPr>
          <w:rFonts w:ascii="Bookman Old Style" w:hAnsi="Bookman Old Style"/>
          <w:i/>
          <w:iCs/>
          <w:sz w:val="22"/>
          <w:szCs w:val="22"/>
        </w:rPr>
        <w:t>I</w:t>
      </w:r>
      <w:bookmarkStart w:id="0" w:name="_GoBack"/>
      <w:bookmarkEnd w:id="0"/>
      <w:r w:rsidRPr="00C24247">
        <w:rPr>
          <w:rFonts w:ascii="Bookman Old Style" w:hAnsi="Bookman Old Style"/>
          <w:i/>
          <w:iCs/>
          <w:sz w:val="22"/>
          <w:szCs w:val="22"/>
        </w:rPr>
        <w:t>n</w:t>
      </w:r>
      <w:r w:rsidRPr="00B620A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620AB">
        <w:rPr>
          <w:rFonts w:ascii="Bookman Old Style" w:hAnsi="Bookman Old Style"/>
          <w:smallCaps/>
          <w:sz w:val="22"/>
          <w:szCs w:val="22"/>
        </w:rPr>
        <w:t>Gellérfi</w:t>
      </w:r>
      <w:proofErr w:type="spellEnd"/>
      <w:r w:rsidRPr="00B620AB">
        <w:rPr>
          <w:rFonts w:ascii="Bookman Old Style" w:hAnsi="Bookman Old Style"/>
          <w:sz w:val="22"/>
          <w:szCs w:val="22"/>
        </w:rPr>
        <w:t xml:space="preserve"> Gergő – </w:t>
      </w:r>
      <w:r w:rsidRPr="00B620AB">
        <w:rPr>
          <w:rFonts w:ascii="Bookman Old Style" w:hAnsi="Bookman Old Style"/>
          <w:smallCaps/>
          <w:sz w:val="22"/>
          <w:szCs w:val="22"/>
        </w:rPr>
        <w:t>Hajdú</w:t>
      </w:r>
      <w:r w:rsidRPr="00B620AB">
        <w:rPr>
          <w:rFonts w:ascii="Bookman Old Style" w:hAnsi="Bookman Old Style"/>
          <w:sz w:val="22"/>
          <w:szCs w:val="22"/>
        </w:rPr>
        <w:t xml:space="preserve"> Attila (</w:t>
      </w:r>
      <w:proofErr w:type="spellStart"/>
      <w:r w:rsidRPr="00B620AB">
        <w:rPr>
          <w:rFonts w:ascii="Bookman Old Style" w:hAnsi="Bookman Old Style"/>
          <w:sz w:val="22"/>
          <w:szCs w:val="22"/>
        </w:rPr>
        <w:t>szerk</w:t>
      </w:r>
      <w:proofErr w:type="spellEnd"/>
      <w:r w:rsidRPr="00B620AB">
        <w:rPr>
          <w:rFonts w:ascii="Bookman Old Style" w:hAnsi="Bookman Old Style"/>
          <w:sz w:val="22"/>
          <w:szCs w:val="22"/>
        </w:rPr>
        <w:t xml:space="preserve">.): </w:t>
      </w:r>
      <w:proofErr w:type="spellStart"/>
      <w:r w:rsidRPr="00B620AB">
        <w:rPr>
          <w:rFonts w:ascii="Bookman Old Style" w:hAnsi="Bookman Old Style"/>
          <w:i/>
          <w:sz w:val="22"/>
          <w:szCs w:val="22"/>
        </w:rPr>
        <w:t>Eötvözet</w:t>
      </w:r>
      <w:proofErr w:type="spellEnd"/>
      <w:r w:rsidRPr="00B620AB">
        <w:rPr>
          <w:rFonts w:ascii="Bookman Old Style" w:hAnsi="Bookman Old Style"/>
          <w:i/>
          <w:sz w:val="22"/>
          <w:szCs w:val="22"/>
        </w:rPr>
        <w:t xml:space="preserve"> II. Az Eötvös József </w:t>
      </w:r>
      <w:proofErr w:type="spellStart"/>
      <w:r w:rsidRPr="00B620AB">
        <w:rPr>
          <w:rFonts w:ascii="Bookman Old Style" w:hAnsi="Bookman Old Style"/>
          <w:i/>
          <w:sz w:val="22"/>
          <w:szCs w:val="22"/>
        </w:rPr>
        <w:t>Collegium</w:t>
      </w:r>
      <w:proofErr w:type="spellEnd"/>
      <w:r w:rsidRPr="00B620AB">
        <w:rPr>
          <w:rFonts w:ascii="Bookman Old Style" w:hAnsi="Bookman Old Style"/>
          <w:i/>
          <w:sz w:val="22"/>
          <w:szCs w:val="22"/>
        </w:rPr>
        <w:t xml:space="preserve"> és az Eötvös Loránd Kollégium II. közös bölcsészkonferenciáján elhangzott előadások. </w:t>
      </w:r>
      <w:r w:rsidRPr="00B620AB">
        <w:rPr>
          <w:rFonts w:ascii="Bookman Old Style" w:hAnsi="Bookman Old Style"/>
          <w:sz w:val="22"/>
          <w:szCs w:val="22"/>
        </w:rPr>
        <w:t xml:space="preserve">Szegedi </w:t>
      </w:r>
      <w:r w:rsidRPr="00B620AB">
        <w:rPr>
          <w:rFonts w:ascii="Bookman Old Style" w:hAnsi="Bookman Old Style"/>
          <w:sz w:val="22"/>
          <w:szCs w:val="22"/>
          <w:lang w:eastAsia="ja-JP"/>
        </w:rPr>
        <w:t>Tudományegyetem</w:t>
      </w:r>
      <w:r w:rsidRPr="00B620AB">
        <w:rPr>
          <w:rFonts w:ascii="Bookman Old Style" w:hAnsi="Bookman Old Style"/>
          <w:sz w:val="22"/>
          <w:szCs w:val="22"/>
        </w:rPr>
        <w:t xml:space="preserve"> Eötvös </w:t>
      </w:r>
      <w:r w:rsidRPr="00B620AB">
        <w:rPr>
          <w:rFonts w:ascii="Bookman Old Style" w:hAnsi="Bookman Old Style"/>
          <w:sz w:val="22"/>
          <w:szCs w:val="22"/>
          <w:lang w:eastAsia="ja-JP"/>
        </w:rPr>
        <w:t>Loránd</w:t>
      </w:r>
      <w:r w:rsidRPr="00B620AB">
        <w:rPr>
          <w:rFonts w:ascii="Bookman Old Style" w:hAnsi="Bookman Old Style"/>
          <w:sz w:val="22"/>
          <w:szCs w:val="22"/>
        </w:rPr>
        <w:t xml:space="preserve"> </w:t>
      </w:r>
      <w:r w:rsidRPr="00B620AB">
        <w:rPr>
          <w:rFonts w:ascii="Bookman Old Style" w:hAnsi="Bookman Old Style"/>
          <w:sz w:val="22"/>
          <w:szCs w:val="22"/>
          <w:lang w:eastAsia="ja-JP"/>
        </w:rPr>
        <w:t>Kollégiuma</w:t>
      </w:r>
      <w:r w:rsidRPr="00B620AB">
        <w:rPr>
          <w:rFonts w:ascii="Bookman Old Style" w:hAnsi="Bookman Old Style"/>
          <w:sz w:val="22"/>
          <w:szCs w:val="22"/>
        </w:rPr>
        <w:t>, Szeged, 2013, 136–149.</w:t>
      </w:r>
      <w:r w:rsidR="00534708" w:rsidRPr="00B620AB">
        <w:rPr>
          <w:rFonts w:ascii="Bookman Old Style" w:hAnsi="Bookman Old Style"/>
          <w:sz w:val="22"/>
          <w:szCs w:val="22"/>
        </w:rPr>
        <w:t xml:space="preserve"> </w:t>
      </w:r>
      <w:hyperlink r:id="rId14" w:history="1">
        <w:r w:rsidR="00534708" w:rsidRPr="00B620AB">
          <w:rPr>
            <w:rStyle w:val="Hiperhivatkozs"/>
            <w:rFonts w:ascii="Bookman Old Style" w:hAnsi="Bookman Old Style"/>
            <w:sz w:val="22"/>
            <w:szCs w:val="22"/>
          </w:rPr>
          <w:t>Elérés</w:t>
        </w:r>
      </w:hyperlink>
    </w:p>
    <w:sectPr w:rsidR="007C4DE9" w:rsidRPr="00D70312" w:rsidSect="00B73020">
      <w:footerReference w:type="default" r:id="rId15"/>
      <w:pgSz w:w="11906" w:h="16838"/>
      <w:pgMar w:top="1134" w:right="1274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C5" w:rsidRDefault="00CE57C5" w:rsidP="001B43A1">
      <w:r>
        <w:separator/>
      </w:r>
    </w:p>
  </w:endnote>
  <w:endnote w:type="continuationSeparator" w:id="0">
    <w:p w:rsidR="00CE57C5" w:rsidRDefault="00CE57C5" w:rsidP="001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A1" w:rsidRDefault="001B43A1">
    <w:pPr>
      <w:pStyle w:val="llb"/>
      <w:jc w:val="center"/>
    </w:pPr>
  </w:p>
  <w:p w:rsidR="001B43A1" w:rsidRDefault="001B43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C5" w:rsidRDefault="00CE57C5" w:rsidP="001B43A1">
      <w:r>
        <w:separator/>
      </w:r>
    </w:p>
  </w:footnote>
  <w:footnote w:type="continuationSeparator" w:id="0">
    <w:p w:rsidR="00CE57C5" w:rsidRDefault="00CE57C5" w:rsidP="001B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564C19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6508B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8B10A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E797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C65D9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462D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AF1E1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68565F"/>
    <w:multiLevelType w:val="hybridMultilevel"/>
    <w:tmpl w:val="891E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E7C5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0C"/>
    <w:rsid w:val="00020F7F"/>
    <w:rsid w:val="00025457"/>
    <w:rsid w:val="00027DB9"/>
    <w:rsid w:val="00080DC7"/>
    <w:rsid w:val="000B3292"/>
    <w:rsid w:val="00106188"/>
    <w:rsid w:val="00106C63"/>
    <w:rsid w:val="001448AB"/>
    <w:rsid w:val="00146522"/>
    <w:rsid w:val="00170424"/>
    <w:rsid w:val="00176633"/>
    <w:rsid w:val="001B43A1"/>
    <w:rsid w:val="001F13CF"/>
    <w:rsid w:val="00243270"/>
    <w:rsid w:val="00262B9A"/>
    <w:rsid w:val="002D0AE6"/>
    <w:rsid w:val="00305D4B"/>
    <w:rsid w:val="00323E93"/>
    <w:rsid w:val="003F59D2"/>
    <w:rsid w:val="004912FE"/>
    <w:rsid w:val="0049197D"/>
    <w:rsid w:val="004C787E"/>
    <w:rsid w:val="00532310"/>
    <w:rsid w:val="00534708"/>
    <w:rsid w:val="005A7F30"/>
    <w:rsid w:val="005C6BCD"/>
    <w:rsid w:val="006C4AF7"/>
    <w:rsid w:val="006C7F47"/>
    <w:rsid w:val="006F47EB"/>
    <w:rsid w:val="00700295"/>
    <w:rsid w:val="0073680F"/>
    <w:rsid w:val="007B75D1"/>
    <w:rsid w:val="007C4DE9"/>
    <w:rsid w:val="007D70FC"/>
    <w:rsid w:val="007E51B5"/>
    <w:rsid w:val="00804D9D"/>
    <w:rsid w:val="00810318"/>
    <w:rsid w:val="00896F0C"/>
    <w:rsid w:val="0093322A"/>
    <w:rsid w:val="00980F8E"/>
    <w:rsid w:val="00985452"/>
    <w:rsid w:val="009A2EA6"/>
    <w:rsid w:val="00A2631A"/>
    <w:rsid w:val="00AC25D6"/>
    <w:rsid w:val="00B41875"/>
    <w:rsid w:val="00B620AB"/>
    <w:rsid w:val="00B73020"/>
    <w:rsid w:val="00B807ED"/>
    <w:rsid w:val="00B84EA0"/>
    <w:rsid w:val="00BB4BD9"/>
    <w:rsid w:val="00BD5D28"/>
    <w:rsid w:val="00BD63DD"/>
    <w:rsid w:val="00BF0F19"/>
    <w:rsid w:val="00C24247"/>
    <w:rsid w:val="00C40670"/>
    <w:rsid w:val="00CE57C5"/>
    <w:rsid w:val="00CE7218"/>
    <w:rsid w:val="00D27339"/>
    <w:rsid w:val="00D432FC"/>
    <w:rsid w:val="00D5557A"/>
    <w:rsid w:val="00D70312"/>
    <w:rsid w:val="00E44AB0"/>
    <w:rsid w:val="00E6127A"/>
    <w:rsid w:val="00E62642"/>
    <w:rsid w:val="00E73F93"/>
    <w:rsid w:val="00E77083"/>
    <w:rsid w:val="00EF704F"/>
    <w:rsid w:val="00F14587"/>
    <w:rsid w:val="00F3303B"/>
    <w:rsid w:val="00F90F52"/>
    <w:rsid w:val="00FA68DF"/>
    <w:rsid w:val="00FF3D73"/>
    <w:rsid w:val="00FF4B1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C3A6E-20FD-496C-9245-E151235C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F0F19"/>
    <w:rPr>
      <w:rFonts w:eastAsia="Times New Roman"/>
      <w:sz w:val="24"/>
      <w:szCs w:val="24"/>
    </w:rPr>
  </w:style>
  <w:style w:type="paragraph" w:styleId="Cmsor3">
    <w:name w:val="heading 3"/>
    <w:basedOn w:val="Norml"/>
    <w:next w:val="Norml"/>
    <w:qFormat/>
    <w:rsid w:val="00BF0F19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2">
    <w:name w:val="List Bullet 2"/>
    <w:basedOn w:val="Norml"/>
    <w:autoRedefine/>
    <w:rsid w:val="00BF0F19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1B43A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B43A1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B43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B43A1"/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59"/>
    <w:rsid w:val="00080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19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9197D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0254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53470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B4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sz.c3.hu/150304/03.2probltako.pdf" TargetMode="External"/><Relationship Id="rId13" Type="http://schemas.openxmlformats.org/officeDocument/2006/relationships/hyperlink" Target="http://honlap.eotvos.elte.hu/wp-content/uploads/2016/02/Kozel_s_Tavol_I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hu/books?id=poG7DQAAQBAJ&amp;printsec=frontcover&amp;dq=On+What+It+Is:+Perspectives+on+Metaphilosophy&amp;hl=hu&amp;sa=X&amp;redir_esc=y" TargetMode="External"/><Relationship Id="rId12" Type="http://schemas.openxmlformats.org/officeDocument/2006/relationships/hyperlink" Target="http://epa.oszk.hu/00100/00186/00033/pdf/EPA00186_magyar_filozofiai_szemle_2013_1_183-19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lmi.org/2014/04/tako-ferenc-az-amerikai-demokracia-es-a-kinai-despotizm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lpis.hu/issues/13/elpis13_tak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ociologia.hu/dynamic/tako_ferenc.pdf" TargetMode="External"/><Relationship Id="rId14" Type="http://schemas.openxmlformats.org/officeDocument/2006/relationships/hyperlink" Target="http://www.eotvos.u-szeged.hu/sites/default/files/muhelyek/quadrivium/2013Eotvozet_kotet0618_m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Iparművészeti Múzeum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Takács Imre</dc:creator>
  <cp:keywords/>
  <cp:lastModifiedBy>takoferi</cp:lastModifiedBy>
  <cp:revision>7</cp:revision>
  <cp:lastPrinted>2016-05-29T14:44:00Z</cp:lastPrinted>
  <dcterms:created xsi:type="dcterms:W3CDTF">2017-06-03T19:34:00Z</dcterms:created>
  <dcterms:modified xsi:type="dcterms:W3CDTF">2017-06-05T21:10:00Z</dcterms:modified>
</cp:coreProperties>
</file>